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5"/>
        <w:gridCol w:w="286"/>
        <w:gridCol w:w="559"/>
        <w:gridCol w:w="344"/>
        <w:gridCol w:w="43"/>
        <w:gridCol w:w="630"/>
        <w:gridCol w:w="58"/>
        <w:gridCol w:w="845"/>
        <w:gridCol w:w="731"/>
        <w:gridCol w:w="558"/>
        <w:gridCol w:w="230"/>
        <w:gridCol w:w="114"/>
        <w:gridCol w:w="1576"/>
        <w:gridCol w:w="115"/>
        <w:gridCol w:w="344"/>
        <w:gridCol w:w="272"/>
        <w:gridCol w:w="57"/>
        <w:gridCol w:w="344"/>
        <w:gridCol w:w="387"/>
        <w:gridCol w:w="57"/>
        <w:gridCol w:w="459"/>
        <w:gridCol w:w="673"/>
        <w:gridCol w:w="459"/>
        <w:gridCol w:w="100"/>
        <w:gridCol w:w="15"/>
        <w:gridCol w:w="71"/>
        <w:gridCol w:w="1161"/>
        <w:gridCol w:w="86"/>
        <w:gridCol w:w="28"/>
      </w:tblGrid>
      <w:tr>
        <w:trPr>
          <w:trHeight w:hRule="exact" w:val="115"/>
        </w:trPr>
        <w:tc>
          <w:tcPr>
            <w:tcW w:w="4513" w:type="dxa"/>
            <w:gridSpan w:val="12"/>
          </w:tcPr>
          <w:p/>
        </w:tc>
        <w:tc>
          <w:tcPr>
            <w:tcW w:w="6204" w:type="dxa"/>
            <w:gridSpan w:val="17"/>
            <w:tcBorders>
              <w:bottom w:val="single" w:sz="5" w:space="0" w:color="000000"/>
            </w:tcBorders>
          </w:tcPr>
          <w:p/>
        </w:tc>
      </w:tr>
      <w:tr>
        <w:trPr>
          <w:trHeight w:hRule="exact" w:val="386"/>
        </w:trPr>
        <w:tc>
          <w:tcPr>
            <w:tcW w:w="3611" w:type="dxa"/>
            <w:gridSpan w:val="9"/>
            <w:vMerge w:val="restart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2304508" cy="758809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508" cy="75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gridSpan w:val="3"/>
            <w:tcBorders>
              <w:right w:val="single" w:sz="5" w:space="0" w:color="000000"/>
            </w:tcBorders>
          </w:tcPr>
          <w:p/>
        </w:tc>
        <w:tc>
          <w:tcPr>
            <w:tcW w:w="6204" w:type="dxa"/>
            <w:gridSpan w:val="17"/>
            <w:tcMar>
              <w:right w:w="43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jc w:val="right"/>
              <w:rPr>
                <w:rFonts w:ascii="Calibri" w:hAnsi="Calibri" w:eastAsia="Calibri" w:cs="Calibri"/>
                <w:b/>
                <w:color w:val="FFFFFF"/>
                <w:sz w:val="32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32"/>
                <w:spacing w:val="-2"/>
              </w:rPr>
              <w:t xml:space="preserve">OFFERTE</w:t>
            </w:r>
          </w:p>
        </w:tc>
      </w:tr>
      <w:tr>
        <w:trPr>
          <w:trHeight w:hRule="exact" w:val="402"/>
        </w:trPr>
        <w:tc>
          <w:tcPr>
            <w:tcW w:w="3611" w:type="dxa"/>
            <w:gridSpan w:val="9"/>
            <w:vMerge/>
          </w:tcPr>
          <w:p/>
        </w:tc>
        <w:tc>
          <w:tcPr>
            <w:tcW w:w="902" w:type="dxa"/>
            <w:gridSpan w:val="3"/>
            <w:tcBorders>
              <w:right w:val="single" w:sz="5" w:space="0" w:color="000000"/>
            </w:tcBorders>
          </w:tcPr>
          <w:p/>
        </w:tc>
        <w:tc>
          <w:tcPr>
            <w:tcW w:w="1691" w:type="dxa"/>
            <w:gridSpan w:val="2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Offerte Datum</w:t>
            </w:r>
          </w:p>
        </w:tc>
        <w:tc>
          <w:tcPr>
            <w:tcW w:w="1461" w:type="dxa"/>
            <w:gridSpan w:val="6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 Referentie Klant</w:t>
            </w:r>
          </w:p>
        </w:tc>
        <w:tc>
          <w:tcPr>
            <w:tcW w:w="1591" w:type="dxa"/>
            <w:gridSpan w:val="3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Account Nummer</w:t>
            </w:r>
          </w:p>
        </w:tc>
        <w:tc>
          <w:tcPr>
            <w:tcW w:w="1461" w:type="dxa"/>
            <w:gridSpan w:val="6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Offerte Nummer</w:t>
            </w:r>
          </w:p>
        </w:tc>
      </w:tr>
      <w:tr>
        <w:trPr>
          <w:trHeight w:hRule="exact" w:val="401"/>
        </w:trPr>
        <w:tc>
          <w:tcPr>
            <w:tcW w:w="3611" w:type="dxa"/>
            <w:gridSpan w:val="9"/>
            <w:vMerge/>
          </w:tcPr>
          <w:p/>
        </w:tc>
        <w:tc>
          <w:tcPr>
            <w:tcW w:w="902" w:type="dxa"/>
            <w:gridSpan w:val="3"/>
            <w:tcBorders>
              <w:right w:val="single" w:sz="5" w:space="0" w:color="000000"/>
            </w:tcBorders>
          </w:tcPr>
          <w:p/>
        </w:tc>
        <w:tc>
          <w:tcPr>
            <w:tcW w:w="1691" w:type="dxa"/>
            <w:gridSpan w:val="2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28/07/2025</w:t>
            </w:r>
          </w:p>
        </w:tc>
        <w:tc>
          <w:tcPr>
            <w:tcW w:w="1461" w:type="dxa"/>
            <w:gridSpan w:val="6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Kurt</w:t>
            </w:r>
          </w:p>
        </w:tc>
        <w:tc>
          <w:tcPr>
            <w:tcW w:w="1591" w:type="dxa"/>
            <w:gridSpan w:val="3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OFF251115</w:t>
            </w:r>
          </w:p>
        </w:tc>
        <w:tc>
          <w:tcPr>
            <w:tcW w:w="1461" w:type="dxa"/>
            <w:gridSpan w:val="6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OFF251115  Q1</w:t>
            </w:r>
          </w:p>
        </w:tc>
      </w:tr>
      <w:tr>
        <w:trPr>
          <w:trHeight w:hRule="exact" w:val="444"/>
        </w:trPr>
        <w:tc>
          <w:tcPr>
            <w:tcW w:w="4513" w:type="dxa"/>
            <w:gridSpan w:val="12"/>
          </w:tcPr>
          <w:p/>
        </w:tc>
        <w:tc>
          <w:tcPr>
            <w:tcW w:w="6204" w:type="dxa"/>
            <w:gridSpan w:val="17"/>
            <w:tcBorders>
              <w:top w:val="single" w:sz="5" w:space="0" w:color="000000"/>
            </w:tcBorders>
          </w:tcPr>
          <w:p/>
        </w:tc>
      </w:tr>
      <w:tr>
        <w:trPr>
          <w:trHeight w:hRule="exact" w:val="57"/>
        </w:trPr>
        <w:tc>
          <w:tcPr>
            <w:tcW w:w="115" w:type="dxa"/>
          </w:tcPr>
          <w:p/>
        </w:tc>
        <w:tc>
          <w:tcPr>
            <w:tcW w:w="2765" w:type="dxa"/>
            <w:gridSpan w:val="7"/>
            <w:vMerge w:val="restart"/>
            <w:tcMar>
              <w:left w:w="43" w:type="dxa"/>
            </w:tcMar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Zicht Gordijnen  &amp; Blinds</w:t>
            </w:r>
          </w:p>
          <w:p>
            <w:pPr>
              <w:spacing w:line="232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Mechelsesteenweg 275</w:t>
            </w:r>
          </w:p>
          <w:p>
            <w:pPr>
              <w:spacing w:line="232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2860 Sint-Katelijne-Waver</w:t>
            </w:r>
          </w:p>
          <w:p>
            <w:pPr>
              <w:spacing w:line="232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015/20 14 00</w:t>
            </w:r>
          </w:p>
          <w:p>
            <w:pPr>
              <w:spacing w:line="232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kurt@zicht.org</w:t>
            </w:r>
          </w:p>
          <w:p>
            <w:pPr>
              <w:spacing w:line="232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BTW BE0839.356.836</w:t>
            </w:r>
          </w:p>
        </w:tc>
        <w:tc>
          <w:tcPr>
            <w:tcW w:w="1633" w:type="dxa"/>
            <w:gridSpan w:val="4"/>
          </w:tcPr>
          <w:p/>
        </w:tc>
        <w:tc>
          <w:tcPr>
            <w:tcW w:w="6204" w:type="dxa"/>
            <w:gridSpan w:val="17"/>
            <w:tcBorders>
              <w:bottom w:val="single" w:sz="5" w:space="0" w:color="000000"/>
            </w:tcBorders>
          </w:tcPr>
          <w:p/>
        </w:tc>
      </w:tr>
      <w:tr>
        <w:trPr>
          <w:trHeight w:hRule="exact" w:val="287"/>
        </w:trPr>
        <w:tc>
          <w:tcPr>
            <w:tcW w:w="115" w:type="dxa"/>
          </w:tcPr>
          <w:p/>
        </w:tc>
        <w:tc>
          <w:tcPr>
            <w:tcW w:w="2765" w:type="dxa"/>
            <w:gridSpan w:val="7"/>
            <w:vMerge/>
            <w:shd w:val="clear" w:color="auto" w:fill="auto"/>
          </w:tcPr>
          <w:p/>
        </w:tc>
        <w:tc>
          <w:tcPr>
            <w:tcW w:w="1633" w:type="dxa"/>
            <w:gridSpan w:val="4"/>
            <w:tcBorders>
              <w:right w:val="single" w:sz="5" w:space="0" w:color="000000"/>
            </w:tcBorders>
          </w:tcPr>
          <w:p/>
        </w:tc>
        <w:tc>
          <w:tcPr>
            <w:tcW w:w="3095" w:type="dxa"/>
            <w:gridSpan w:val="7"/>
            <w:tcMar>
              <w:left w:w="43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ind w:right="-21909"/>
              <w:rPr>
                <w:rFonts w:ascii="Calibri" w:hAnsi="Calibri" w:eastAsia="Calibri" w:cs="Calibri"/>
                <w:b/>
                <w:color w:val="F2F2F2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2F2F2"/>
                <w:sz w:val="18"/>
                <w:spacing w:val="-2"/>
              </w:rPr>
              <w:t xml:space="preserve">Facturatieadres</w:t>
            </w:r>
          </w:p>
        </w:tc>
        <w:tc>
          <w:tcPr>
            <w:tcW w:w="3109" w:type="dxa"/>
            <w:gridSpan w:val="10"/>
            <w:tcMar>
              <w:left w:w="43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ind w:right="-18807"/>
              <w:rPr>
                <w:rFonts w:ascii="Calibri" w:hAnsi="Calibri" w:eastAsia="Calibri" w:cs="Calibri"/>
                <w:b/>
                <w:color w:val="F2F2F2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2F2F2"/>
                <w:sz w:val="18"/>
                <w:spacing w:val="-2"/>
              </w:rPr>
              <w:t xml:space="preserve">Leveringsadres</w:t>
            </w:r>
          </w:p>
        </w:tc>
      </w:tr>
      <w:tr>
        <w:trPr>
          <w:trHeight w:hRule="exact" w:val="1032"/>
        </w:trPr>
        <w:tc>
          <w:tcPr>
            <w:tcW w:w="115" w:type="dxa"/>
          </w:tcPr>
          <w:p/>
        </w:tc>
        <w:tc>
          <w:tcPr>
            <w:tcW w:w="2765" w:type="dxa"/>
            <w:gridSpan w:val="7"/>
            <w:vMerge/>
            <w:shd w:val="clear" w:color="auto" w:fill="auto"/>
          </w:tcPr>
          <w:p/>
        </w:tc>
        <w:tc>
          <w:tcPr>
            <w:tcW w:w="1633" w:type="dxa"/>
            <w:gridSpan w:val="4"/>
            <w:tcBorders>
              <w:right w:val="single" w:sz="5" w:space="0" w:color="000000"/>
            </w:tcBorders>
          </w:tcPr>
          <w:p/>
        </w:tc>
        <w:tc>
          <w:tcPr>
            <w:tcW w:w="3095" w:type="dxa"/>
            <w:gridSpan w:val="7"/>
            <w:vMerge w:val="restart"/>
            <w:tcMar>
              <w:left w:w="43" w:type="dxa"/>
            </w:tcMar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Mijnheer Ben Smets</w:t>
            </w:r>
          </w:p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Wolfstraat 74 </w:t>
            </w:r>
          </w:p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2870 SInt Amands</w:t>
            </w:r>
          </w:p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Mob: 0032477323666</w:t>
            </w:r>
          </w:p>
        </w:tc>
        <w:tc>
          <w:tcPr>
            <w:tcW w:w="3109" w:type="dxa"/>
            <w:gridSpan w:val="10"/>
            <w:vMerge w:val="restart"/>
            <w:tcMar>
              <w:left w:w="43" w:type="dxa"/>
            </w:tcMar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Mijnheer Ben Smets</w:t>
            </w:r>
          </w:p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Wolfstraat 74 </w:t>
            </w:r>
          </w:p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2870 SInt Amands </w:t>
            </w:r>
          </w:p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Mob: 0032477323666</w:t>
            </w:r>
          </w:p>
        </w:tc>
      </w:tr>
      <w:tr>
        <w:trPr>
          <w:trHeight w:hRule="exact" w:val="831"/>
        </w:trPr>
        <w:tc>
          <w:tcPr>
            <w:tcW w:w="4513" w:type="dxa"/>
            <w:gridSpan w:val="12"/>
            <w:tcBorders>
              <w:right w:val="single" w:sz="5" w:space="0" w:color="000000"/>
            </w:tcBorders>
          </w:tcPr>
          <w:p/>
        </w:tc>
        <w:tc>
          <w:tcPr>
            <w:tcW w:w="309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109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"/>
        </w:trPr>
        <w:tc>
          <w:tcPr>
            <w:tcW w:w="4513" w:type="dxa"/>
            <w:gridSpan w:val="12"/>
            <w:tcBorders>
              <w:bottom w:val="single" w:sz="5" w:space="0" w:color="000000"/>
            </w:tcBorders>
          </w:tcPr>
          <w:p/>
        </w:tc>
        <w:tc>
          <w:tcPr>
            <w:tcW w:w="6204" w:type="dxa"/>
            <w:gridSpan w:val="17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3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ind w:right="-28171"/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  <w:t xml:space="preserve"> Product</w:t>
            </w:r>
          </w:p>
        </w:tc>
        <w:tc>
          <w:tcPr>
            <w:tcW w:w="6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  <w:t xml:space="preserve">Aantal</w:t>
            </w:r>
          </w:p>
        </w:tc>
        <w:tc>
          <w:tcPr>
            <w:tcW w:w="4842" w:type="dxa"/>
            <w:gridSpan w:val="10"/>
            <w:tcMar>
              <w:lef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ind w:right="-22304"/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  <w:t xml:space="preserve">Omschrijving</w:t>
            </w:r>
          </w:p>
        </w:tc>
        <w:tc>
          <w:tcPr>
            <w:tcW w:w="1247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  <w:t xml:space="preserve">Prijs excl BTW</w:t>
            </w:r>
          </w:p>
        </w:tc>
        <w:tc>
          <w:tcPr>
            <w:tcW w:w="673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  <w:t xml:space="preserve">BTW</w:t>
            </w:r>
          </w:p>
        </w:tc>
        <w:tc>
          <w:tcPr>
            <w:tcW w:w="5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</w:pPr>
          </w:p>
        </w:tc>
        <w:tc>
          <w:tcPr>
            <w:tcW w:w="1346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9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F2F2F2"/>
                <w:sz w:val="20"/>
                <w:spacing w:val="-2"/>
              </w:rPr>
              <w:t xml:space="preserve">Totaal excl BTW</w:t>
            </w:r>
          </w:p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dakkapel, Kleurnummer: 5080 Bamboo, 150Holz, Child safety: Nee</w:t>
            </w:r>
          </w:p>
        </w:tc>
        <w:tc>
          <w:tcPr>
            <w:tcW w:w="57" w:type="dxa"/>
            <w:vMerge w:val="restart"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286,00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386,00</w:t>
            </w:r>
          </w:p>
        </w:tc>
        <w:tc>
          <w:tcPr>
            <w:tcW w:w="114" w:type="dxa"/>
            <w:gridSpan w:val="2"/>
            <w:vMerge w:val="restart"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2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9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749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150Holz, Child safety: Nee, Model met batterijmotor,Oplaadkabel voor batterijmotor,Zender 15 kanaals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396,51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100 %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2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9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749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slaapkamer T, gemotoriseerd, Kleurnummer: 5080 Bamboo, 150Holz, Child safety: Nee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420,00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420,00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2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9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749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150Holz, Child safety: Nee, Model met batterijmotor,Oplaadkabel voor batterijmotor,Zender 15 kanaals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396,51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100 %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4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6322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slaapkamer J, Kleurnummer: 5080 Bamboo, 150Holz, Child safety: Nee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392,00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392,00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4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6322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150Holz, Child safety: Nee, Model met batterijmotor,Oplaadkabel voor batterijmotor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346,13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100 %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4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6322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dakkapel beneden, gemotoriseerd, Kleurnummer: 5080 Bamboo, 150Holz, Child safety: Nee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326,00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326,00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1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4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6322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150Holz, Child safety: Nee, Model met batterijmotor,Oplaadkabel voor batterijmotor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346,13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100 %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1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4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6322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42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raam living voorkanT, Kleurnummer: 5080 Bamboo, 150Holz, Child safety: Nee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706,00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706,00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3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1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9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749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150Holz, Child safety: Nee, Model met batterijmotor,Oplaadkabel voor batterijmotor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692,26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100 %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3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1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9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749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raam living zijkant, Kleurnummer: 5080 Bamboo, 150Holz, Child safety: Nee</w:t>
            </w:r>
          </w:p>
        </w:tc>
        <w:tc>
          <w:tcPr>
            <w:tcW w:w="57" w:type="dxa"/>
            <w:vMerge w:val="restart"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433,00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433,00</w:t>
            </w:r>
          </w:p>
        </w:tc>
        <w:tc>
          <w:tcPr>
            <w:tcW w:w="114" w:type="dxa"/>
            <w:gridSpan w:val="2"/>
            <w:vMerge w:val="restart"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3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1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9"/>
        </w:trPr>
        <w:tc>
          <w:tcPr>
            <w:tcW w:w="401" w:type="dxa"/>
            <w:gridSpan w:val="2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bottom w:val="single" w:sz="5" w:space="0" w:color="000000"/>
            </w:tcBorders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749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115"/>
        </w:trPr>
        <w:tc>
          <w:tcPr>
            <w:tcW w:w="10717" w:type="dxa"/>
            <w:gridSpan w:val="29"/>
            <w:tcBorders>
              <w:top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44"/>
        </w:trPr>
        <w:tc>
          <w:tcPr>
            <w:tcW w:w="10717" w:type="dxa"/>
            <w:gridSpan w:val="29"/>
          </w:tcPr>
          <w:p/>
        </w:tc>
      </w:tr>
      <w:tr>
        <w:trPr>
          <w:trHeight w:hRule="exact" w:val="215"/>
        </w:trPr>
        <w:tc>
          <w:tcPr>
            <w:tcW w:w="4513" w:type="dxa"/>
            <w:gridSpan w:val="12"/>
          </w:tcPr>
          <w:p/>
        </w:tc>
        <w:tc>
          <w:tcPr>
            <w:tcW w:w="2035" w:type="dxa"/>
            <w:gridSpan w:val="3"/>
            <w:shd w:val="clear" w:color="auto" w:fill="auto"/>
          </w:tcPr>
          <w:p>
            <w:pPr>
              <w:spacing w:line="232"/>
              <w:jc w:val="center"/>
              <w:rPr>
                <w:rFonts w:ascii="Arial" w:hAnsi="Arial" w:eastAsia="Arial" w:cs="Arial"/>
                <w:color w:val="000000"/>
                <w:sz w:val="16"/>
                <w:spacing w:val="-2"/>
              </w:rPr>
            </w:pPr>
            <w:r>
              <w:rPr>
                <w:rFonts w:ascii="Arial" w:hAnsi="Arial" w:eastAsia="Arial" w:cs="Arial"/>
                <w:color w:val="000000"/>
                <w:sz w:val="16"/>
                <w:spacing w:val="-2"/>
              </w:rPr>
              <w:t xml:space="preserve">1 / 3</w:t>
            </w:r>
          </w:p>
        </w:tc>
        <w:tc>
          <w:tcPr>
            <w:tcW w:w="4169" w:type="dxa"/>
            <w:gridSpan w:val="14"/>
          </w:tcPr>
          <w:p/>
        </w:tc>
      </w:tr>
      <w:tr>
        <w:trPr>
          <w:trHeight w:hRule="exact" w:val="344"/>
        </w:trPr>
        <w:tc>
          <w:tcPr>
            <w:tcW w:w="10717" w:type="dxa"/>
            <w:gridSpan w:val="29"/>
            <w:tcBorders>
              <w:bottom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150Holz, Child safety: Nee, Model met batterijmotor,Oplaadkabel voor batterijmotor</w:t>
            </w:r>
          </w:p>
        </w:tc>
        <w:tc>
          <w:tcPr>
            <w:tcW w:w="57" w:type="dxa"/>
            <w:vMerge w:val="restart"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678,13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100 %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3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1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9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749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raam kapsolon Voorkant, Kleurnummer: 5080 Bamboo, 150Holz, Child safety: Nee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286,00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286,00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3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3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568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150Holz, Child safety: Nee, Model met batterijmotor,Oplaadkabel voor batterijmotor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678,13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100 %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8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3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568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raam kapsolon zijkant, Kleurnummer: 5080 Bamboo, 150Holz, Child safety: Nee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353,00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353,00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8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3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568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150Holz, Child safety: Nee, Model met batterijmotor,Oplaadkabel voor batterijmotor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346,13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100 %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Hor hout 50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8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3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568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indicatieve montage en verplaatsingskosten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471,07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58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Plaatsing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2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3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6568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6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43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De opmeting is kosteloos. Enkel in geval dat de order niet weerhouden wordt, verklaart de klant zich stilzwijgend akkoord dat deze kost ten bedrage van 75,00 € excl BTW tot drie ramen of 150,00 € excl BTW vanaf vier ramen zal gefactureerd worden</w:t>
            </w:r>
          </w:p>
        </w:tc>
        <w:tc>
          <w:tcPr>
            <w:tcW w:w="57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Opmeting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2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8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111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18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1</w:t>
            </w:r>
          </w:p>
        </w:tc>
        <w:tc>
          <w:tcPr>
            <w:tcW w:w="58" w:type="dxa"/>
            <w:vMerge w:val="restart"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 w:val="restart"/>
            <w:tcMar>
              <w:left w:w="29" w:type="dxa"/>
              <w:right w:w="72" w:type="dxa"/>
            </w:tcMar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2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DEZE PRIJZEN ZIJN GELDIG WEGENS DE SUMMERDEALS EN GELDEN ENKEL TEM 31/7/2025 !!!! dit in tegenstelling tot onze algemene voorwaarden en zijn niet cummuleerbaar met andere acties</w:t>
            </w:r>
          </w:p>
        </w:tc>
        <w:tc>
          <w:tcPr>
            <w:tcW w:w="57" w:type="dxa"/>
            <w:vMerge w:val="restart"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673" w:type="dxa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21 %</w:t>
            </w:r>
          </w:p>
        </w:tc>
        <w:tc>
          <w:tcPr>
            <w:tcW w:w="574" w:type="dxa"/>
            <w:gridSpan w:val="3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 </w:t>
            </w:r>
          </w:p>
        </w:tc>
        <w:tc>
          <w:tcPr>
            <w:tcW w:w="1232" w:type="dxa"/>
            <w:gridSpan w:val="2"/>
            <w:vMerge w:val="restart"/>
            <w:tcMar>
              <w:left w:w="14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0,00</w:t>
            </w:r>
          </w:p>
        </w:tc>
        <w:tc>
          <w:tcPr>
            <w:tcW w:w="114" w:type="dxa"/>
            <w:gridSpan w:val="2"/>
            <w:vMerge w:val="restart"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1304" w:type="dxa"/>
            <w:gridSpan w:val="4"/>
            <w:tcMar>
              <w:top w:w="29" w:type="dxa"/>
              <w:left w:w="29" w:type="dxa"/>
            </w:tcMar>
            <w:tcBorders>
              <w:left w:val="single" w:sz="5" w:space="0" w:color="000000"/>
            </w:tcBorders>
            <w:shd w:val="clear" w:color="auto" w:fill="auto"/>
          </w:tcPr>
          <w:p>
            <w:pPr>
              <w:spacing w:line="232"/>
              <w:jc w:val="center"/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8"/>
                <w:spacing w:val="-2"/>
              </w:rPr>
              <w:t xml:space="preserve">Special Services</w:t>
            </w:r>
          </w:p>
        </w:tc>
        <w:tc>
          <w:tcPr>
            <w:tcW w:w="43" w:type="dxa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72"/>
        </w:trPr>
        <w:tc>
          <w:tcPr>
            <w:tcW w:w="1347" w:type="dxa"/>
            <w:gridSpan w:val="5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59"/>
        </w:trPr>
        <w:tc>
          <w:tcPr>
            <w:tcW w:w="401" w:type="dxa"/>
            <w:gridSpan w:val="2"/>
            <w:tcBorders>
              <w:left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356749" cy="356749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9" cy="3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gridSpan w:val="2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186"/>
        </w:trPr>
        <w:tc>
          <w:tcPr>
            <w:tcW w:w="134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30" w:type="dxa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4785" w:type="dxa"/>
            <w:gridSpan w:val="9"/>
            <w:vMerge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7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4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4" w:type="dxa"/>
            <w:gridSpan w:val="3"/>
            <w:vMerge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32" w:type="dxa"/>
            <w:gridSpan w:val="2"/>
            <w:vMerge/>
            <w:vAlign w:val="center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57"/>
        </w:trPr>
        <w:tc>
          <w:tcPr>
            <w:tcW w:w="10717" w:type="dxa"/>
            <w:gridSpan w:val="29"/>
            <w:tcBorders>
              <w:top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6089" w:type="dxa"/>
            <w:gridSpan w:val="13"/>
            <w:vMerge w:val="restart"/>
            <w:shd w:val="clear" w:color="auto" w:fill="auto"/>
          </w:tcPr>
          <w:p/>
        </w:tc>
        <w:tc>
          <w:tcPr>
            <w:tcW w:w="3282" w:type="dxa"/>
            <w:gridSpan w:val="12"/>
            <w:vAlign w:val="center"/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22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pacing w:val="-2"/>
              </w:rPr>
              <w:t xml:space="preserve">Subtotaal:</w:t>
            </w:r>
          </w:p>
        </w:tc>
        <w:tc>
          <w:tcPr>
            <w:tcW w:w="71" w:type="dxa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2"/>
            <w:tcMar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€ 3.773,07</w:t>
            </w:r>
          </w:p>
        </w:tc>
        <w:tc>
          <w:tcPr>
            <w:tcW w:w="28" w:type="dxa"/>
            <w:vMerge w:val="restart"/>
            <w:tcBorders>
              <w:lef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"/>
        </w:trPr>
        <w:tc>
          <w:tcPr>
            <w:tcW w:w="6089" w:type="dxa"/>
            <w:gridSpan w:val="13"/>
            <w:vMerge/>
            <w:shd w:val="clear" w:color="auto" w:fill="auto"/>
          </w:tcPr>
          <w:p/>
        </w:tc>
        <w:tc>
          <w:tcPr>
            <w:tcW w:w="3282" w:type="dxa"/>
            <w:gridSpan w:val="12"/>
            <w:vAlign w:val="center"/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22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pacing w:val="-2"/>
              </w:rPr>
              <w:t xml:space="preserve">BTW 21%:</w:t>
            </w:r>
          </w:p>
        </w:tc>
        <w:tc>
          <w:tcPr>
            <w:tcW w:w="71" w:type="dxa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2"/>
            <w:tcMar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€ 792,35</w:t>
            </w:r>
          </w:p>
        </w:tc>
        <w:tc>
          <w:tcPr>
            <w:tcW w:w="28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3"/>
        </w:trPr>
        <w:tc>
          <w:tcPr>
            <w:tcW w:w="6089" w:type="dxa"/>
            <w:gridSpan w:val="13"/>
            <w:vMerge/>
            <w:shd w:val="clear" w:color="auto" w:fill="auto"/>
          </w:tcPr>
          <w:p/>
        </w:tc>
        <w:tc>
          <w:tcPr>
            <w:tcW w:w="3267" w:type="dxa"/>
            <w:gridSpan w:val="11"/>
            <w:vAlign w:val="center"/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22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pacing w:val="-2"/>
              </w:rPr>
              <w:t xml:space="preserve">TOTAAL:</w:t>
            </w:r>
          </w:p>
        </w:tc>
        <w:tc>
          <w:tcPr>
            <w:tcW w:w="86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2"/>
            <w:tcMar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A9A5B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€ 4.565,42</w:t>
            </w:r>
          </w:p>
        </w:tc>
        <w:tc>
          <w:tcPr>
            <w:tcW w:w="28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"/>
        </w:trPr>
        <w:tc>
          <w:tcPr>
            <w:tcW w:w="4169" w:type="dxa"/>
            <w:gridSpan w:val="10"/>
            <w:shd w:val="clear" w:color="auto" w:fill="auto"/>
          </w:tcPr>
          <w:p/>
        </w:tc>
        <w:tc>
          <w:tcPr>
            <w:tcW w:w="5187" w:type="dxa"/>
            <w:gridSpan w:val="14"/>
            <w:vAlign w:val="center"/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22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pacing w:val="-2"/>
              </w:rPr>
              <w:t xml:space="preserve">Te betalen voorschot na ontvangst orderbevestiging (30%):</w:t>
            </w:r>
          </w:p>
        </w:tc>
        <w:tc>
          <w:tcPr>
            <w:tcW w:w="86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2"/>
            <w:tcMar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€ 1.369,63</w:t>
            </w:r>
          </w:p>
        </w:tc>
        <w:tc>
          <w:tcPr>
            <w:tcW w:w="28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4399" w:type="dxa"/>
            <w:gridSpan w:val="11"/>
            <w:shd w:val="clear" w:color="auto" w:fill="auto"/>
          </w:tcPr>
          <w:p/>
        </w:tc>
        <w:tc>
          <w:tcPr>
            <w:tcW w:w="4957" w:type="dxa"/>
            <w:gridSpan w:val="13"/>
            <w:vAlign w:val="center"/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22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pacing w:val="-2"/>
              </w:rPr>
              <w:t xml:space="preserve">Te betalen bij vastlegging montage datum (30%):</w:t>
            </w:r>
          </w:p>
        </w:tc>
        <w:tc>
          <w:tcPr>
            <w:tcW w:w="86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2"/>
            <w:tcMar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€ 1.369,63</w:t>
            </w:r>
          </w:p>
        </w:tc>
        <w:tc>
          <w:tcPr>
            <w:tcW w:w="28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6089" w:type="dxa"/>
            <w:gridSpan w:val="13"/>
            <w:shd w:val="clear" w:color="auto" w:fill="auto"/>
          </w:tcPr>
          <w:p/>
        </w:tc>
        <w:tc>
          <w:tcPr>
            <w:tcW w:w="3267" w:type="dxa"/>
            <w:gridSpan w:val="11"/>
            <w:vAlign w:val="center"/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22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pacing w:val="-2"/>
              </w:rPr>
              <w:t xml:space="preserve">Te betalen bij einde werken(40%):</w:t>
            </w:r>
          </w:p>
        </w:tc>
        <w:tc>
          <w:tcPr>
            <w:tcW w:w="86" w:type="dxa"/>
            <w:gridSpan w:val="2"/>
            <w:vMerge/>
            <w:tcBorders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2"/>
            <w:tcMar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2"/>
              <w:jc w:val="right"/>
              <w:rPr>
                <w:rFonts w:ascii="Calibri" w:hAnsi="Calibri" w:eastAsia="Calibri" w:cs="Calibri"/>
                <w:color w:val="000000"/>
                <w:sz w:val="18"/>
                <w:spacing w:val="-2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pacing w:val="-2"/>
              </w:rPr>
              <w:t xml:space="preserve">€ 1.826,17</w:t>
            </w:r>
          </w:p>
        </w:tc>
        <w:tc>
          <w:tcPr>
            <w:tcW w:w="28" w:type="dxa"/>
            <w:vMerge/>
            <w:tcBorders>
              <w:lef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630"/>
        </w:trPr>
        <w:tc>
          <w:tcPr>
            <w:tcW w:w="10717" w:type="dxa"/>
            <w:gridSpan w:val="29"/>
            <w:shd w:val="clear" w:color="auto" w:fill="auto"/>
          </w:tcPr>
          <w:p/>
        </w:tc>
      </w:tr>
      <w:tr>
        <w:trPr>
          <w:trHeight w:hRule="exact" w:val="1476"/>
        </w:trPr>
        <w:tc>
          <w:tcPr>
            <w:tcW w:w="10603" w:type="dxa"/>
            <w:gridSpan w:val="27"/>
            <w:vMerge w:val="restart"/>
            <w:vAlign w:val="center"/>
            <w:tcBorders>
              <w:bottom w:val="single" w:sz="5" w:space="0" w:color="000000"/>
            </w:tcBorders>
            <w:shd w:val="clear" w:color="auto" w:fill="auto"/>
          </w:tcPr>
          <w:p>
            <w:pPr>
              <w:rPr>
                <w:rFonts w:ascii="Calibri" w:hAnsi="Calibri" w:eastAsia="Calibri" w:cs="Calibri"/>
                <w:b/>
                <w:color w:val="000000"/>
                <w:sz w:val="20"/>
                <w:spacing w:val="-2"/>
              </w:rPr>
              <w:spacing w:line="232"/>
            </w:pP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Voorwaarden en bepalingen: De opmeting is kostenloos.  </w:t>
            </w:r>
            <w:r>
              <w:rPr>
                <w:b/>
                <w:color w:val="C1AD76"/>
                <w:sz w:val="20"/>
                <w:szCs w:val="20"/>
                <w:rFonts w:ascii="Calibri" w:hAnsi="Calibri" w:eastAsia="Calibri" w:cs="Calibri"/>
                <w:spacing w:val="-2"/>
              </w:rPr>
              <w:t xml:space="preserve">Als de order niet wordt weerhouden is de klant stilzwijgend akkoord met de facturatie van de kost ten bedrage van 75,00€ excl. BTW tot en met drie ramen of 150,00€ excl. BTW vanaf vier ramen.</w:t>
            </w: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  </w:t>
            </w:r>
          </w:p>
          <w:p>
            <w:pPr>
              <w:rPr>
                <w:rFonts w:ascii="Calibri" w:hAnsi="Calibri" w:eastAsia="Calibri" w:cs="Calibri"/>
                <w:b/>
                <w:color w:val="000000"/>
                <w:sz w:val="20"/>
                <w:spacing w:val="-2"/>
              </w:rPr>
              <w:spacing w:line="232"/>
            </w:pP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De leveringstermijn van de goederen wordt verwacht tussen de 10-12 weken, onder voorbehoud van voorraad, na ontvangstdatum van het voorschot.  </w:t>
            </w: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U mag er op vertrouwen dat wij  uw dossier prioriteit geven en u zelf zullen contacteren wanneer de goederen in ontvangst genomen worden. Op dat moment bellen wij u ook op mbt de plaatsingsdatum.</w:t>
            </w:r>
          </w:p>
          <w:p>
            <w:pPr>
              <w:rPr>
                <w:rFonts w:ascii="Calibri" w:hAnsi="Calibri" w:eastAsia="Calibri" w:cs="Calibri"/>
                <w:b/>
                <w:color w:val="000000"/>
                <w:sz w:val="20"/>
                <w:spacing w:val="-2"/>
              </w:rPr>
              <w:spacing w:line="232"/>
            </w:pP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Offerte geldig gedurende 1 maand tenzij deze offerte onderhevig is aan een actieperiode en of een projectvoorstel.  Bij akkoord gelieve</w:t>
            </w:r>
            <w:r>
              <w:rPr>
                <w:b/>
                <w:color w:val="C1AD76"/>
                <w:sz w:val="20"/>
                <w:szCs w:val="20"/>
                <w:rFonts w:ascii="Calibri" w:hAnsi="Calibri" w:eastAsia="Calibri" w:cs="Calibri"/>
                <w:spacing w:val="-2"/>
              </w:rPr>
              <w:t xml:space="preserve"> het voorschot pas te betalen nadat de opmeting is gebeurd</w:t>
            </w: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 en de orderbevestiging is verstuurd.  Een opmeting kan u bevestigen door te antwoorden op onze e-mail.</w:t>
            </w:r>
          </w:p>
          <w:p>
            <w:pPr>
              <w:rPr>
                <w:rFonts w:ascii="Calibri" w:hAnsi="Calibri" w:eastAsia="Calibri" w:cs="Calibri"/>
                <w:b/>
                <w:color w:val="000000"/>
                <w:sz w:val="20"/>
                <w:spacing w:val="-2"/>
              </w:rPr>
              <w:spacing w:line="232"/>
            </w:pP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Onze algemene voorwaarden zijn terug te vinden op onze website </w:t>
            </w:r>
            <w:r>
              <w:rPr>
                <w:b/>
                <w:color w:val="0000FF"/>
                <w:sz w:val="20"/>
                <w:szCs w:val="20"/>
                <w:rFonts w:ascii="Calibri" w:hAnsi="Calibri" w:eastAsia="Calibri" w:cs="Calibri"/>
                <w:spacing w:val="-2"/>
              </w:rPr>
              <w:t xml:space="preserve">www.zicht.org</w:t>
            </w: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. </w:t>
            </w:r>
          </w:p>
          <w:p>
            <w:pPr>
              <w:rPr>
                <w:rFonts w:ascii="Calibri" w:hAnsi="Calibri" w:eastAsia="Calibri" w:cs="Calibri"/>
                <w:b/>
                <w:color w:val="000000"/>
                <w:sz w:val="20"/>
                <w:spacing w:val="-2"/>
              </w:rPr>
              <w:spacing w:line="232"/>
            </w:pP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We danken u voor uw keuze van Zicht Gordijnen &amp; Blinds als uw partner voor uw raamdecoratie op maat en kijken uit naar een aangename samenwerking.</w:t>
            </w:r>
          </w:p>
          <w:p>
            <w:pPr>
              <w:rPr>
                <w:rFonts w:ascii="Calibri" w:hAnsi="Calibri" w:eastAsia="Calibri" w:cs="Calibri"/>
                <w:b/>
                <w:color w:val="000000"/>
                <w:sz w:val="20"/>
                <w:spacing w:val="-2"/>
              </w:rPr>
              <w:spacing w:line="232"/>
            </w:pPr>
            <w:r>
              <w:rPr>
                <w:b/>
                <w:sz w:val="20"/>
                <w:szCs w:val="20"/>
                <w:rFonts w:ascii="Calibri" w:hAnsi="Calibri" w:eastAsia="Calibri" w:cs="Calibri"/>
                <w:spacing w:val="-2"/>
              </w:rPr>
              <w:t xml:space="preserve">
</w:t>
            </w:r>
          </w:p>
        </w:tc>
        <w:tc>
          <w:tcPr>
            <w:tcW w:w="114" w:type="dxa"/>
            <w:gridSpan w:val="2"/>
            <w:vMerge w:val="restart"/>
            <w:tcBorders>
              <w:bottom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1462"/>
        </w:trPr>
        <w:tc>
          <w:tcPr>
            <w:tcW w:w="10603" w:type="dxa"/>
            <w:gridSpan w:val="27"/>
            <w:vMerge/>
            <w:vAlign w:val="center"/>
            <w:tcBorders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114" w:type="dxa"/>
            <w:gridSpan w:val="2"/>
            <w:vMerge/>
            <w:tcBorders>
              <w:bottom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114"/>
        </w:trPr>
        <w:tc>
          <w:tcPr>
            <w:tcW w:w="10717" w:type="dxa"/>
            <w:gridSpan w:val="29"/>
            <w:tcBorders>
              <w:top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1791"/>
        </w:trPr>
        <w:tc>
          <w:tcPr>
            <w:tcW w:w="10717" w:type="dxa"/>
            <w:gridSpan w:val="29"/>
          </w:tcPr>
          <w:p/>
        </w:tc>
      </w:tr>
      <w:tr>
        <w:trPr>
          <w:trHeight w:hRule="exact" w:val="230"/>
        </w:trPr>
        <w:tc>
          <w:tcPr>
            <w:tcW w:w="4513" w:type="dxa"/>
            <w:gridSpan w:val="12"/>
          </w:tcPr>
          <w:p/>
        </w:tc>
        <w:tc>
          <w:tcPr>
            <w:tcW w:w="2035" w:type="dxa"/>
            <w:gridSpan w:val="3"/>
            <w:shd w:val="clear" w:color="auto" w:fill="auto"/>
          </w:tcPr>
          <w:p>
            <w:pPr>
              <w:spacing w:line="232"/>
              <w:jc w:val="center"/>
              <w:rPr>
                <w:rFonts w:ascii="Arial" w:hAnsi="Arial" w:eastAsia="Arial" w:cs="Arial"/>
                <w:color w:val="000000"/>
                <w:sz w:val="16"/>
                <w:spacing w:val="-2"/>
              </w:rPr>
            </w:pPr>
            <w:r>
              <w:rPr>
                <w:rFonts w:ascii="Arial" w:hAnsi="Arial" w:eastAsia="Arial" w:cs="Arial"/>
                <w:color w:val="000000"/>
                <w:sz w:val="16"/>
                <w:spacing w:val="-2"/>
              </w:rPr>
              <w:t xml:space="preserve">2 / 3</w:t>
            </w:r>
          </w:p>
        </w:tc>
        <w:tc>
          <w:tcPr>
            <w:tcW w:w="4169" w:type="dxa"/>
            <w:gridSpan w:val="14"/>
          </w:tcPr>
          <w:p/>
        </w:tc>
      </w:tr>
    </w:tbl>
    <w:p>
      <w:pPr>
        <w:sectPr>
          <w:pgSz w:w="11906" w:h="16838"/>
          <w:pgMar w:top="340" w:right="567" w:bottom="404" w:left="567" w:header="136" w:footer="161.60000000000002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44"/>
        <w:gridCol w:w="10273"/>
        <w:gridCol w:w="230"/>
      </w:tblGrid>
      <w:tr>
        <w:trPr>
          <w:trHeight w:hRule="exact" w:val="229"/>
        </w:trPr>
        <w:tc>
          <w:tcPr>
            <w:tcW w:w="10947" w:type="dxa"/>
            <w:gridSpan w:val="3"/>
          </w:tcPr>
          <w:p/>
        </w:tc>
      </w:tr>
      <w:tr>
        <w:trPr>
          <w:trHeight w:hRule="exact" w:val="2866"/>
        </w:trPr>
        <w:tc>
          <w:tcPr>
            <w:tcW w:w="444" w:type="dxa"/>
          </w:tcPr>
          <w:p/>
        </w:tc>
        <w:tc>
          <w:tcPr>
            <w:tcW w:w="10503" w:type="dxa"/>
            <w:gridSpan w:val="2"/>
            <w:vMerge w:val="restart"/>
            <w:shd w:val="clear" w:color="auto" w:fill="auto"/>
          </w:tcPr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b/>
                <w:sz w:val="16"/>
                <w:szCs w:val="16"/>
                <w:rFonts w:ascii="Arial" w:hAnsi="Arial" w:eastAsia="Arial" w:cs="Arial"/>
                <w:spacing w:val="-2"/>
              </w:rPr>
              <w:t xml:space="preserve">Algemene voorwaarden Zicht Gordijnen &amp; Blinds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b/>
                <w:sz w:val="16"/>
                <w:szCs w:val="16"/>
                <w:rFonts w:ascii="Arial" w:hAnsi="Arial" w:eastAsia="Arial" w:cs="Arial"/>
                <w:spacing w:val="-2"/>
              </w:rPr>
              <w:t xml:space="preserve">Toepassing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1.Onze algemene voorwaarden zijn van toepassing op alle contracten die worden afgesloten, behoudens uitdrukkelijk anders luidend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beding en met uitsluiting van de voorwaarden van de co-contractant, hiernagenoemd klant. De algemene voorwaarden maken integraal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deel uit van de contracten en er kan alleen schriftelijk van worden afgeweken.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b/>
                <w:sz w:val="16"/>
                <w:szCs w:val="16"/>
                <w:rFonts w:ascii="Arial" w:hAnsi="Arial" w:eastAsia="Arial" w:cs="Arial"/>
                <w:spacing w:val="-2"/>
              </w:rPr>
              <w:t xml:space="preserve">Studies, offertes en overeenkomsten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2. Onze offertes zijn slechts bindend wanneer zij door de zaakvoerder of zijn aangestelde werden ondertekend en blijven 1 maand geldig.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Indien het BTW-tarief gewijzigd wordt voor de facturatie van het saldo van de prijs, wordt de prijs van de nog te factureren werken overeenkomstig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aangepast, zelfs wanneer een prijs inclusief BTW werd overeengekomen. In afwijking van art. 1793 BW kunnen meerwerken met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alle middelen van recht worden bewezen.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3. Alle studies, plannen, documenten, schetsen, tekeningen, stalen en ontwerpen blijven onze eigendom, beschermd door de intellectuele rechten.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Bij overhandiging aan de klant mogen zij niet misbruikt worden noch door de klant noch door derden. De klant is aansprakelijk voor elk eventueel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misbruik en de Vennootschap behoudt zich het recht voor schadevergoeding te eisen. Deze bedraagt minimaal 10% van de aannemingssom.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Op het eerste verzoek moeten de bovenvermelde stukken worden teruggegeven.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b/>
                <w:sz w:val="16"/>
                <w:szCs w:val="16"/>
                <w:rFonts w:ascii="Arial" w:hAnsi="Arial" w:eastAsia="Arial" w:cs="Arial"/>
                <w:spacing w:val="-2"/>
              </w:rPr>
              <w:t xml:space="preserve">Uitvoering van de werken</w:t>
            </w: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4. De uitvoeringstermijn wordt geschorst door onvoorziene omstandigheden buiten de wil van de Vennootschap om zonder dat een vergoeding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verschuldigd is, wanneer de klant hiervan binnen de 14 dagen na het voorval wordt verwittigd en ten laatste op de voorziene uitvoeringsdatum.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Wanneer de uitvoeringstermijn wordt opgeschort of onderbroken door de klant of zijn aangestelden of door derden die in opdracht van de klant werken,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is de klant een vergoeding verschuldigd van 25€ per dag voor gederfde winst. de Vennootschap bepaalt zelf wanneer hij de werken opnieuw kan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aanvatten, zonder dat hiervoor enige vergoeding wegens vertraging verschuldigd is.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5. De klant dient ervoor te zorgen dat de goederen bij aankomst onmiddellijk kunnen worden geleverd op de werf en op een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veilige manier kunnen worden gestockeerd. Nutteloze verplaatsingskosten en te lange wachttijden (meer dan 15 minuten) zullen worden aangerekend.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6. Na plaatsing of levering van de goederen gaat het risico over op de klant.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7. De niet-geïncorporeerde goederen blijven wel eigendom van de Vennootschap zolang de factuur m.b.t. deze goederen niet werd betaald.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8. Water, elektriciteit en verwarming zijn te voorzien door de klant.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9. De werf dient door de klant normaal toegankelijk gemaakt te worden en afgewerkt te worden om de normale uitvoering van de werken op een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veilige manier mogelijk te maken. Nutteloze verplaatsingskosten en te lange wachttijden (meer dan 15 minuten) zullen worden aangerekend.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10. De uitvoering van de werken dient te gebeuren volgens de regels van het goed vakmanschap. Deze worden gespecificeerd in de eigenlijke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overeenkomst of in het lastenboek, of bij gebreke hieraan in de technische voorschriften van het WTCB. De klant aanvaardt deze uitvoeringsregels.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b/>
                <w:sz w:val="16"/>
                <w:szCs w:val="16"/>
                <w:rFonts w:ascii="Arial" w:hAnsi="Arial" w:eastAsia="Arial" w:cs="Arial"/>
                <w:spacing w:val="-2"/>
              </w:rPr>
              <w:t xml:space="preserve">Oplevering, onderhoud, waarborg en aansprakelijkheid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11. Tenzij anders luidend schriftelijk beding, wordt er overeengekomen dat als er binnen de 8 dagen na de levering en/of plaatsing geen bemerkingen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aangetekend werden overgemaakt aan de Vennootschap, de aanneming en/of levering geacht wordt definitief aanvaard te zijn.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Dit tijdstip wordt dan ook gelijkgesteld met de enige en definitieve oplevering.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12. De aansprakelijkheid m.b.t. de geleverde en gebruikte producten is beperkt tot de door de fabrikant verstrekte waarborgen.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13. De zichtbare gebreken of de gebreken in de conformiteit welke van bij de plaatsing of de levering bestonden moeten binnen de 8 dagen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aangetekend worden gemeld aan de Vennootschap, zo niet worden zij geacht aanvaard te zijn.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14. Worden niet beschouwd als gebrek in de conformiteit, als een zichtbaar of verborgen gebrek : lichte verschillen in de kleur of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textuur of het verkleuren van het hout of het lakwerk, de werking van het hout of lichte verschillen in de afmetingen van goed, voorzover deze vanuit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technisch oogpunt niet te voorkomen zijn of algemeen aanvaard zijn of eigen zijn aan de gebruikte materialen.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15. Klachten i.v.m. verborgen gebreken moeten onmiddellijk na de ontdekking worden meegedeeld op straffe van verval. Klachten moeten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aangetekend en gedetailleerd worden verstuurd.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16. De 10-jarige aansprakelijkheid voorzien in art. 1792 en 2270 BW is waar wettelijk voorzien van toepassing. Daarnaast wordt , behoudens anders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luidend schriftelijk beding, op de uitgevoerde werken voor de lichte verborgen gebreken een waarborg gegeven van 6 maanden vanaf de oplevering.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Op de uitgevoerde herstellingen wordt geen enkele waarborg gegeven. De waarborg beperkt zich uitsluitend tot het vervangen van elk stuk waarvan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de constructie- en/of montagefout bewezen is, met uitsluiting van alle verdere schadeloosstelling. De waarborg dekt evenwel niet :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-het verkeerd gebruik of de verkeerde behandeling van de producten, materialen en toestellen -de schade veroorzaakt door overmacht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– een handeling of de opzettelijke fout van om het even welk persoon, waaronder de koper of zijn aangestelden -vorst- of vochtschade.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b/>
                <w:sz w:val="16"/>
                <w:szCs w:val="16"/>
                <w:rFonts w:ascii="Arial" w:hAnsi="Arial" w:eastAsia="Arial" w:cs="Arial"/>
                <w:spacing w:val="-2"/>
              </w:rPr>
              <w:t xml:space="preserve">Sancties bij niet-nakoming van de contractuele verplichtingen</w:t>
            </w: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17. Wanneer de overeenkomst verbroken wordt door de klant, zal deze een vergoeding verschuldigd zijn die gelijk is aan de reeds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uitgevoerde prestaties en de reeds aangekochte materialen voor de betrokken werf. Bovendien is een forfetaire schadevergoeding verschuldigd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van 20% van de overeengekomen prijs. De Vennootschap behoudt zich het recht voor de uitvoering van de aanneming na te streven en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een voorschot te vorderen van 10% op de nog niet uitgevoerde werken.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18. Wanneer een factuur niet tijdig betaald wordt, behoudt de Vennootschap zich het recht voor de uitvoering van het nog uit te voeren werk te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onderbreken tot de factuur werd betaald, zonder dat hiervoor enige vergoeding kan verschuldigd zijn door de Vennootschap. de Vennootschap bepaalt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zelf wanneer hij de werken opnieuw kan aanvatten, zonder dat hiervoor enige vergoeding wegens vertraging verschuldigd is. Wanneer de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Vennootschap door deze schorsing schade lijdt (zowel rechtstreekse als onrechtstreekse), zal de klant deze dienen te vergoeden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Desgevallend kan de Vennootschap het saldo van de nog uit te voeren werken annuleren. In dat geval is de vergoeding verschuldigd zoals bepaald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in artikel 17.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19. Wanneer de facturen niet tijdig betaald werden is van rechtswege en zonder enige voorafgaande ingebrekestelling een intrest verschuldigd gelijk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aan de wettelijke rentevoet, verhoogd met 4 punten. Daarnaast is eveneens van rechtswege en zonder enige bijkomende voorafgaande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ingebrekestelling een forfaitaire vergoeding verschuldigd van 10% van het nog verschuldigde bedrag.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20. Bij niet-tijdige betaling van een factuur zullen alle andere nog niet vervallen schuldvorderingen op de klant van rechtswege en zonder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voorafgaande ingebrekestelling opeisbaar worden.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b/>
                <w:sz w:val="16"/>
                <w:szCs w:val="16"/>
                <w:rFonts w:ascii="Arial" w:hAnsi="Arial" w:eastAsia="Arial" w:cs="Arial"/>
                <w:spacing w:val="-2"/>
              </w:rPr>
              <w:t xml:space="preserve">Betaling</w:t>
            </w: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21. De prestaties worden gefactureerd zoals afgesproken in de overeenkomst. Wanneer hierover niets bijzonder werd bepaald, worden deze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gefactureerd naargelang de vooruitgang der werken.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22. Tenzij anders vermeld, zijn onze facturen kontant betaalbaar.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23. Al onze facturen worden geacht aanvaard te zijn wanneer zij niet binnen de 8 dagen na ontvangst bij aangetekend schrijven worden betwist.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b/>
                <w:sz w:val="16"/>
                <w:szCs w:val="16"/>
                <w:rFonts w:ascii="Arial" w:hAnsi="Arial" w:eastAsia="Arial" w:cs="Arial"/>
                <w:spacing w:val="-2"/>
              </w:rPr>
              <w:t xml:space="preserve">Bevoegdheid</w:t>
            </w: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24. Voor elke betwisting die rechtstreeks of onrechtstreeks voortvloeit uit onze verkopen of diensten, zijn naar onze keuze de materieelrechtelijke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rechtbanken van het arrondissement Mechelen bevoegd dan wel die van de klant. </w:t>
            </w:r>
          </w:p>
          <w:p>
            <w:pPr>
              <w:rPr>
                <w:rFonts w:ascii="Arial" w:hAnsi="Arial" w:eastAsia="Arial" w:cs="Arial"/>
                <w:color w:val="000000"/>
                <w:sz w:val="16"/>
                <w:spacing w:val="-2"/>
              </w:rPr>
              <w:spacing w:line="232"/>
            </w:pP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 25. Al onze overeenkomsten worden beheerst door het Belgisch recht.</w:t>
            </w:r>
            <w:r>
              <w:rPr>
                <w:sz w:val="16"/>
                <w:szCs w:val="16"/>
                <w:rFonts w:ascii="Arial" w:hAnsi="Arial" w:eastAsia="Arial" w:cs="Arial"/>
                <w:spacing w:val="-2"/>
              </w:rPr>
              <w:t xml:space="preserve">
</w:t>
            </w:r>
          </w:p>
        </w:tc>
      </w:tr>
      <w:tr>
        <w:trPr>
          <w:trHeight w:hRule="exact" w:val="2865"/>
        </w:trPr>
        <w:tc>
          <w:tcPr>
            <w:tcW w:w="444" w:type="dxa"/>
          </w:tcPr>
          <w:p/>
        </w:tc>
        <w:tc>
          <w:tcPr>
            <w:tcW w:w="10503" w:type="dxa"/>
            <w:gridSpan w:val="2"/>
            <w:vMerge/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444" w:type="dxa"/>
          </w:tcPr>
          <w:p/>
        </w:tc>
        <w:tc>
          <w:tcPr>
            <w:tcW w:w="10503" w:type="dxa"/>
            <w:gridSpan w:val="2"/>
            <w:vMerge/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444" w:type="dxa"/>
          </w:tcPr>
          <w:p/>
        </w:tc>
        <w:tc>
          <w:tcPr>
            <w:tcW w:w="10503" w:type="dxa"/>
            <w:gridSpan w:val="2"/>
            <w:vMerge/>
            <w:shd w:val="clear" w:color="auto" w:fill="auto"/>
          </w:tcPr>
          <w:p/>
        </w:tc>
      </w:tr>
      <w:tr>
        <w:trPr>
          <w:trHeight w:hRule="exact" w:val="1991"/>
        </w:trPr>
        <w:tc>
          <w:tcPr>
            <w:tcW w:w="444" w:type="dxa"/>
          </w:tcPr>
          <w:p/>
        </w:tc>
        <w:tc>
          <w:tcPr>
            <w:tcW w:w="10503" w:type="dxa"/>
            <w:gridSpan w:val="2"/>
            <w:vMerge/>
            <w:shd w:val="clear" w:color="auto" w:fill="auto"/>
          </w:tcPr>
          <w:p/>
        </w:tc>
      </w:tr>
      <w:tr>
        <w:trPr>
          <w:trHeight w:hRule="exact" w:val="1992"/>
        </w:trPr>
        <w:tc>
          <w:tcPr>
            <w:tcW w:w="444" w:type="dxa"/>
          </w:tcPr>
          <w:p/>
        </w:tc>
        <w:tc>
          <w:tcPr>
            <w:tcW w:w="10503" w:type="dxa"/>
            <w:gridSpan w:val="2"/>
            <w:vMerge/>
            <w:shd w:val="clear" w:color="auto" w:fill="auto"/>
          </w:tcPr>
          <w:p/>
        </w:tc>
      </w:tr>
    </w:tbl>
    <w:sectPr>
      <w:pgSz w:w="11906" w:h="16838"/>
      <w:pgMar w:top="567" w:right="567" w:bottom="517" w:left="567" w:header="226.8" w:footer="206.8" w:gutter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Arial"/>
  <w:font w:name="Cambria"/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Relationship Id="rId8" Type="http://schemas.openxmlformats.org/officeDocument/2006/relationships/image" Target="media/image00004.jpeg" /><Relationship Id="rId9" Type="http://schemas.openxmlformats.org/officeDocument/2006/relationships/image" Target="media/image00005.jpeg" /><Relationship Id="rId10" Type="http://schemas.openxmlformats.org/officeDocument/2006/relationships/footnotes" Target="footnotes.xml" /><Relationship Id="rId11" Type="http://schemas.openxmlformats.org/officeDocument/2006/relationships/endnotes" Target="endnot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Reports.JS 2024.1.1 from 2023.12.08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OFF251115 -  Ben Smets</dc:title>
  <dc:subject>OFF251115 -  Ben Smets</dc:subject>
  <dc:creator/>
  <cp:keywords/>
  <dc:description/>
  <cp:lastModifiedBy>Stimulsoft Reports.JS 2024.1.1 from 2023.12.08</cp:lastModifiedBy>
  <cp:revision>1</cp:revision>
  <dcterms:created xsi:type="dcterms:W3CDTF">2025-07-28T17:29:59+02:00</dcterms:created>
  <dcterms:modified xsi:type="dcterms:W3CDTF">2025-07-28T17:29:59+02:00</dcterms:modified>
  <cp:contentStatus>Netscape * Mozilla/5.0 (Windows NT 10.0; Win64; x64) AppleWebKit/537.36 (KHTML, like Gecko) Chrome/138.0.0.0 Safari/537.36</cp:contentStatus>
</cp:coreProperties>
</file>